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787D" w14:textId="0A8C90EC" w:rsidR="00C11A4D" w:rsidRPr="00C11A4D" w:rsidRDefault="00D824F8" w:rsidP="00C11A4D">
      <w:pPr>
        <w:adjustRightInd w:val="0"/>
        <w:jc w:val="both"/>
        <w:rPr>
          <w:rFonts w:ascii="Century Gothic" w:eastAsia="Calibri" w:hAnsi="Century Gothic" w:cs="Times New Roman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Temeljem članka 18. Zakona o zaštiti prijavitelja nepravilnosti („Narodne novine“ broj 17/19) 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 xml:space="preserve">trgovačko društvo </w:t>
      </w:r>
      <w:r w:rsidR="00C11A4D" w:rsidRPr="00C11A4D">
        <w:rPr>
          <w:rFonts w:ascii="Century Gothic" w:eastAsia="Times New Roman" w:hAnsi="Century Gothic" w:cs="Times New Roman"/>
          <w:bCs/>
          <w:sz w:val="20"/>
          <w:szCs w:val="20"/>
          <w:lang w:eastAsia="hr-HR"/>
        </w:rPr>
        <w:t>CESTE-RIJEKA d.o.o. Kukuljanovo, Industrijska zona, Kukuljanovo 377, MB:1334387,</w:t>
      </w:r>
      <w:r w:rsidR="00C11A4D" w:rsidRPr="00C11A4D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OIB: 01371628232, zastupano po predsjedniku Uprave </w:t>
      </w:r>
      <w:r w:rsidR="00C11A4D">
        <w:rPr>
          <w:rFonts w:ascii="Century Gothic" w:eastAsia="Times New Roman" w:hAnsi="Century Gothic" w:cs="Times New Roman"/>
          <w:sz w:val="20"/>
          <w:szCs w:val="20"/>
          <w:lang w:eastAsia="hr-HR"/>
        </w:rPr>
        <w:t>Danijel Šostarec,</w:t>
      </w:r>
      <w:r w:rsidR="00C11A4D" w:rsidRPr="00C11A4D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 </w:t>
      </w:r>
      <w:proofErr w:type="spellStart"/>
      <w:r w:rsidR="00C11A4D" w:rsidRPr="00C11A4D">
        <w:rPr>
          <w:rFonts w:ascii="Century Gothic" w:eastAsia="Times New Roman" w:hAnsi="Century Gothic" w:cs="Times New Roman"/>
          <w:sz w:val="20"/>
          <w:szCs w:val="20"/>
          <w:lang w:eastAsia="hr-HR"/>
        </w:rPr>
        <w:t>dipl.i</w:t>
      </w:r>
      <w:r w:rsidR="00C11A4D">
        <w:rPr>
          <w:rFonts w:ascii="Century Gothic" w:eastAsia="Times New Roman" w:hAnsi="Century Gothic" w:cs="Times New Roman"/>
          <w:sz w:val="20"/>
          <w:szCs w:val="20"/>
          <w:lang w:eastAsia="hr-HR"/>
        </w:rPr>
        <w:t>ur</w:t>
      </w:r>
      <w:proofErr w:type="spellEnd"/>
      <w:r w:rsidR="00C11A4D" w:rsidRPr="00C11A4D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. 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 xml:space="preserve">(dalje u tekstu: </w:t>
      </w:r>
      <w:r w:rsidR="00B36C37">
        <w:rPr>
          <w:rFonts w:ascii="Century Gothic" w:eastAsia="Calibri" w:hAnsi="Century Gothic" w:cs="Times New Roman"/>
          <w:sz w:val="20"/>
          <w:szCs w:val="20"/>
          <w:lang w:eastAsia="hr-HR"/>
        </w:rPr>
        <w:t>Društvo</w:t>
      </w:r>
      <w:r w:rsidR="005C7015">
        <w:rPr>
          <w:rFonts w:ascii="Century Gothic" w:eastAsia="Calibri" w:hAnsi="Century Gothic" w:cs="Times New Roman"/>
          <w:sz w:val="20"/>
          <w:szCs w:val="20"/>
          <w:lang w:eastAsia="hr-HR"/>
        </w:rPr>
        <w:t>/Poslodavac</w:t>
      </w:r>
      <w:r w:rsidR="00C11A4D">
        <w:rPr>
          <w:rFonts w:ascii="Century Gothic" w:eastAsia="Calibri" w:hAnsi="Century Gothic" w:cs="Times New Roman"/>
          <w:sz w:val="20"/>
          <w:szCs w:val="20"/>
          <w:lang w:eastAsia="hr-HR"/>
        </w:rPr>
        <w:t>)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 xml:space="preserve"> doni</w:t>
      </w:r>
      <w:r w:rsidR="00B36C37">
        <w:rPr>
          <w:rFonts w:ascii="Century Gothic" w:eastAsia="Calibri" w:hAnsi="Century Gothic" w:cs="Times New Roman"/>
          <w:sz w:val="20"/>
          <w:szCs w:val="20"/>
          <w:lang w:eastAsia="hr-HR"/>
        </w:rPr>
        <w:t>jel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 xml:space="preserve">o je dana </w:t>
      </w:r>
      <w:r w:rsidR="00C11A4D">
        <w:rPr>
          <w:rFonts w:ascii="Century Gothic" w:eastAsia="Calibri" w:hAnsi="Century Gothic" w:cs="Times New Roman"/>
          <w:sz w:val="20"/>
          <w:szCs w:val="20"/>
          <w:lang w:eastAsia="hr-HR"/>
        </w:rPr>
        <w:t>3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 xml:space="preserve">. </w:t>
      </w:r>
      <w:r w:rsidR="00C11A4D">
        <w:rPr>
          <w:rFonts w:ascii="Century Gothic" w:eastAsia="Calibri" w:hAnsi="Century Gothic" w:cs="Times New Roman"/>
          <w:sz w:val="20"/>
          <w:szCs w:val="20"/>
          <w:lang w:eastAsia="hr-HR"/>
        </w:rPr>
        <w:t>siječnja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 xml:space="preserve"> 20</w:t>
      </w:r>
      <w:r w:rsidR="00C11A4D">
        <w:rPr>
          <w:rFonts w:ascii="Century Gothic" w:eastAsia="Calibri" w:hAnsi="Century Gothic" w:cs="Times New Roman"/>
          <w:sz w:val="20"/>
          <w:szCs w:val="20"/>
          <w:lang w:eastAsia="hr-HR"/>
        </w:rPr>
        <w:t>20</w:t>
      </w:r>
      <w:r w:rsidR="00C11A4D" w:rsidRPr="00C11A4D">
        <w:rPr>
          <w:rFonts w:ascii="Century Gothic" w:eastAsia="Calibri" w:hAnsi="Century Gothic" w:cs="Times New Roman"/>
          <w:sz w:val="20"/>
          <w:szCs w:val="20"/>
          <w:lang w:eastAsia="hr-HR"/>
        </w:rPr>
        <w:t>. godine ovaj</w:t>
      </w:r>
    </w:p>
    <w:p w14:paraId="26449E8E" w14:textId="408D156C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</w:p>
    <w:p w14:paraId="318377D8" w14:textId="6DA36D6F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PRAVILNIK </w:t>
      </w:r>
    </w:p>
    <w:p w14:paraId="1B99642D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O POSTUPKU UNUTARNJEG PRIJAVLJIVANJA NEPRAVILNOSTI</w:t>
      </w:r>
    </w:p>
    <w:p w14:paraId="66A4C97E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I IMENOVANJA POVJERLJIVE OSOBE</w:t>
      </w:r>
    </w:p>
    <w:p w14:paraId="5AD2DAFC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</w:p>
    <w:p w14:paraId="6627EB2F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Sadržaj Pravilnika</w:t>
      </w:r>
    </w:p>
    <w:p w14:paraId="24764AA9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1.</w:t>
      </w:r>
    </w:p>
    <w:p w14:paraId="691AEE0A" w14:textId="219906BE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Ovim Pravilnikom o postupku unutarnjeg prijavljivanja nepravilnosti i imenovanja povjerljive osobe (dalje u tekstu: Pravilnik) se uređuje postupak unutarnjeg prijavljivanja nepravilnosti, odnosno prijavljivanje nepravilnosti u </w:t>
      </w:r>
      <w:r w:rsidR="00B36C37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trgovačkom društvu Ceste-Rijeka d.o.o. 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(dalje u tekstu: </w:t>
      </w:r>
      <w:r w:rsidR="00B36C37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Društvo</w:t>
      </w:r>
      <w:r w:rsidR="008862AE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/Poslodavac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) te imenovanja povjerljive osobe za unutarnje prijavljivanje nepravilnosti (dalje u tekstu: povjerljiva osoba).</w:t>
      </w:r>
    </w:p>
    <w:p w14:paraId="492ADBC3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Nepravilnosti</w:t>
      </w:r>
    </w:p>
    <w:p w14:paraId="0C3D916C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2.</w:t>
      </w:r>
    </w:p>
    <w:p w14:paraId="31009DF3" w14:textId="1376BCC6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Nepravilnosti su kršenja zakona i drugih propisa te nesavjesno upravljanje javnim dobrima, javnim sredstvima i sredstvima Europske unije koje predstavlja ugrožavanje javnog interesa, a koja su povezana s obavljanjem poslova kod </w:t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Poslodavca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Nepravilnosti mogu biti: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nepravilnost za koju nisu propisane prekršajne odredbe,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nepravilnost koja ima obilježje prekršaja,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nepravilnosti kod kojih postoji sumnja na kazneno djelo.</w:t>
      </w:r>
    </w:p>
    <w:p w14:paraId="0652AE28" w14:textId="77777777" w:rsidR="005C7015" w:rsidRDefault="005C7015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</w:pPr>
    </w:p>
    <w:p w14:paraId="7FB83237" w14:textId="6FC57CD3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Imenovanje povjerljive osobe</w:t>
      </w:r>
    </w:p>
    <w:p w14:paraId="586B57FF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3.</w:t>
      </w:r>
    </w:p>
    <w:p w14:paraId="291BC0C2" w14:textId="367A2448" w:rsidR="00D824F8" w:rsidRPr="00B109E0" w:rsidRDefault="005C7015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 Društva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imenovati povjerljivu osobu za unutarnje prijavljivanje nepravilnosti na prijedlog najmanje 20% radnika zaposlenih</w:t>
      </w:r>
      <w:r w:rsidR="00514EC8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u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Društvu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i to odmah nakon dostave prijedloga.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Ako 20% zaposlenih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kod Poslodavca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ranije ne dostavi svoj prijedlog,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odmah po donošenju ovoga Pravilnika pozvati radnike da dostave prijedlog, što će učiniti pozivom svim radnicima putem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oglasne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ploče Poslodavca.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Ako u roku petnaest (15) dana od dana poziva radnicima iz stavka 2. ovoga članka, radnici ne dostave svoj prijedlog povjerljive osobe,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sukladno članku 17. st. 2. Zakona o zaštiti prijavitelja nepravilnosti (Narodne novine 17/19) povjerljivu osobu imenovati sam</w:t>
      </w:r>
      <w:r w:rsidR="00514EC8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Ako nakon što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samostalno imenuje osobu sukladno stavku 3. ovoga članka, grupa od 20% radnika dostavi prijedlog druge osobe, </w:t>
      </w:r>
      <w:r w:rsidR="00514EC8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razriješiti prije imenovanu povjerljivu osobu i imenovati novu sukladno prijedlogu 20% radnika.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Ako više grupa od po najmanje 20% radnika predloži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Upravi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različite osobe,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za povjerljivu osobu imenovati onu koju je predložilo više radnika, a ako se radi o istom broju radnika, onda će između ta dva ili više prijedloga izabrati </w:t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  <w:r w:rsidR="00D824F8" w:rsidRPr="00B109E0">
        <w:rPr>
          <w:rFonts w:ascii="Century Gothic" w:eastAsia="Times New Roman" w:hAnsi="Century Gothic" w:cs="Arial"/>
          <w:color w:val="333333"/>
          <w:sz w:val="18"/>
          <w:szCs w:val="18"/>
          <w:shd w:val="clear" w:color="auto" w:fill="FFFFFF"/>
          <w:lang w:eastAsia="hr-HR"/>
        </w:rPr>
        <w:br/>
      </w:r>
    </w:p>
    <w:p w14:paraId="28BE9444" w14:textId="77777777" w:rsidR="00D824F8" w:rsidRPr="005C7015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5C7015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Pristanak povjerljive osobe</w:t>
      </w:r>
    </w:p>
    <w:p w14:paraId="324ABA9D" w14:textId="77777777" w:rsidR="00D824F8" w:rsidRPr="005C7015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5C7015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4.</w:t>
      </w:r>
    </w:p>
    <w:p w14:paraId="77E5DE91" w14:textId="607AA218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Radnici koji predlažu povjerljivu osobu trebali bi prethodno dobiti njen pristanak koji se daje u pisanom obliku i zajedno s prijedlogom dostavlja </w:t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imenuje povjerljivu osobu uz njezin prethodni pisani pristanak.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o imenovanju izdati pisanu obavijest povjerljivoj osobi.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48985018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Razrješenje povjerljive osobe i prestanak te dužnosti</w:t>
      </w:r>
    </w:p>
    <w:p w14:paraId="16458675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5.</w:t>
      </w:r>
    </w:p>
    <w:p w14:paraId="0443F2E6" w14:textId="3AFDB0B6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može pisanim putem tražiti da je s</w:t>
      </w:r>
      <w:r w:rsidR="000C1142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e razriješi te obveze, odnosno dati pisanu izjavu da povlači svoj pristanak.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U slučaju iz stavka 1. ovoga članka </w:t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razriješiti povjerljivu osobu i o tome obavijestiti 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lastRenderedPageBreak/>
        <w:t>radnike te zatražiti prijedlog druge osobe, a u nastavku postupati sukladno članku 3. ovoga Pravilnika.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Ako povjerljivoj osobi prestane ugovor o radu kod </w:t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Poslodavca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ili postane zakonski zastupnik </w:t>
      </w:r>
      <w:r w:rsidR="005C7015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time joj prestaje svojstvo povjerljive osobe, te se dalje postupa na način određen člankom 3. ovoga Pravilnika.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Do imenovanja nove povjerljive osobe sve poslove povjerljive osobe obavlja zamjenik.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3DCA2477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Zamjenik</w:t>
      </w:r>
    </w:p>
    <w:p w14:paraId="0EE5CAF1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6.</w:t>
      </w:r>
    </w:p>
    <w:p w14:paraId="20A72DA2" w14:textId="020E58A0" w:rsidR="00D824F8" w:rsidRPr="00B109E0" w:rsidRDefault="005C7015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na prijedlog povjerljive osobe imenovati zamjenika povjerljive osobe, uz njezin prethodni pisani pristanak.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Sva prava, ovlasti i obveze povjerljive osobe na odgovarajući način primjenjuju se na zamjenika.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Zamjenik djeluje kada povjerljivoj osobi prestane ta dužnost iz bilo kojeg razloga do imenovanja nove osobe, odnosno u slučaju duže nenazočnosti povjerljive osobe (30 i više dana) ili ako ga povjerljiva osoba posebno za to ovlasti, ili u slučaju kraće nenazočnosti povjerljive osobe ako je situacija takva da se ne može čekati.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 dogovoru s povjerljivom osobom zamjenik može stalno sudjelovati u radu povjerljive osobe, kao pomoćnik.</w:t>
      </w:r>
    </w:p>
    <w:p w14:paraId="488E6E87" w14:textId="77777777" w:rsidR="00D824F8" w:rsidRPr="00B109E0" w:rsidRDefault="00D824F8" w:rsidP="00D824F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</w:p>
    <w:p w14:paraId="1B33003F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Opoziv povjerljive osobe </w:t>
      </w:r>
    </w:p>
    <w:p w14:paraId="0E9D2424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7.</w:t>
      </w:r>
    </w:p>
    <w:p w14:paraId="3D8035D8" w14:textId="32FB7A06" w:rsidR="00D824F8" w:rsidRPr="00B109E0" w:rsidRDefault="005C7015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opozvati povjerljivu osobu i imenovati novu ako opoziv zatraži 20% radnika i to u roku od mjesec dana od donošenja odluke o opozivu. Do donošenja odluke o imenovanju nove povjerljive osobe poslove povjerljive osobe obavlja njezin zamjenik, osim ako okolnosti upućuju na to da je potrebno privremeno imenovati treću osobu za povjerljivu osobu.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Prilikom opoziva grupa od 20% radnika trebala bi odmah dati prijedlog nove povjerljive osobe.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7A9E8538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Osiguranje nesmetanog djelovanja</w:t>
      </w:r>
    </w:p>
    <w:p w14:paraId="2E69A8CF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8.</w:t>
      </w:r>
    </w:p>
    <w:p w14:paraId="267DE398" w14:textId="0712C08B" w:rsidR="00D824F8" w:rsidRPr="00B109E0" w:rsidRDefault="005C7015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mora povjerljivoj osobi omogućiti rad i nesmetano djelovanje kao povjerljivoj osobi, u tom smislu ne smije je rasporediti na mjesto rada, smjenu i sl. koji bi onemogućili ili bitno otežali njeno djelovanje.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Zbog svojeg djelovanja u dobroj vjeri kao povjerljiva osoba, ista ne smije trpjeti nikakve štetne posljedice.</w:t>
      </w:r>
      <w:r w:rsidR="00D824F8"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46910241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Obavijest o povjerljivoj osobi </w:t>
      </w:r>
    </w:p>
    <w:p w14:paraId="44104EC1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9.</w:t>
      </w:r>
    </w:p>
    <w:p w14:paraId="40AA2578" w14:textId="4521E59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O povjerljivoj osobi </w:t>
      </w:r>
      <w:r w:rsidR="00C07FF2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mora obavijestiti sve radnike putem web stranice ili oglasne ploče </w:t>
      </w:r>
      <w:r w:rsidR="00C07FF2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5A6C40E3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Zabrana sprječavanja prijavljivanja nepravilnosti</w:t>
      </w:r>
    </w:p>
    <w:p w14:paraId="06022B92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10.</w:t>
      </w:r>
    </w:p>
    <w:p w14:paraId="1C4E311F" w14:textId="608121CA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Zabranjeno je sprječavanje prijavljivanja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Odredbe općeg ili pojedinačnog akta </w:t>
      </w:r>
      <w:r w:rsidR="00C07FF2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te pravnog posla kojima se propisuje zabrana prijavljivanja nepravilnosti nemaju pravni učinak.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7EBF24C3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Zabrana stavljanja prijavitelja nepravilnosti u nepovoljan položaj</w:t>
      </w:r>
    </w:p>
    <w:p w14:paraId="05F23704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11.</w:t>
      </w:r>
    </w:p>
    <w:p w14:paraId="383556C4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Prijavitelj nepravilnosti niti na koji način ne smije biti stavljen u nepovoljan položaj zbog prijavljivanja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Stavljanjem u nepovoljan položaj prijavitelja nepravilnosti smatra se: otkaz ugovora o radu, uznemiravanje, nemogućnost napredovanja, neisplata i smanjenje plaće i drugih naknada, uskrata radnih zadataka, promjena radnog vremena, onemogućavanje obrazovanja i stručnog usavršavanja, neisplata otpremnina, nepoduzimanje mjera radi zaštite dostojanstva 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lastRenderedPageBreak/>
        <w:t>radnika zbog uznemiravanja od drugih osoba, proizvoljno upućivanje na zdravstvene preglede ili preglede radi ocjene radne sposobnosti i druga nepovoljna postupanja.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Prijava nepravilnosti ne smatra se povredom čuvanja poslovne tajne.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714E6D86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Dobra vjera prijavitelja nepravilnosti</w:t>
      </w:r>
    </w:p>
    <w:p w14:paraId="68CCA317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12.</w:t>
      </w:r>
    </w:p>
    <w:p w14:paraId="0D999B7A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Prijavitelj nepravilnosti dužan je savjesno i pošteno prijavljivati nepravilnosti o kojima ima saznanja i koje smatra istinitim u trenutku prijavljivanja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58EE3CEF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Zabrana zlouporabe prijavljivanja nepravilnosti</w:t>
      </w:r>
    </w:p>
    <w:p w14:paraId="46A47DB5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13.</w:t>
      </w:r>
    </w:p>
    <w:p w14:paraId="2F775D46" w14:textId="4E2C5E0F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Zabranjena je zlouporaba prijavljivanja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Zlouporabu prijavljivanja nepravilnosti čini osoba koja: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dostavi informaciju za koju je znala da nije istinita,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uz zahtjev za postupanje u vezi s prijavom nepravilnosti traži protupravnu korist,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- poduzima druge radnje kojima je svrha isključivo nanijeti štetu </w:t>
      </w:r>
      <w:r w:rsidR="00105BD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oslodavcu.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11421C13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Postupak unutarnjeg prijavljivanja</w:t>
      </w:r>
    </w:p>
    <w:p w14:paraId="303BCFFB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14.</w:t>
      </w:r>
    </w:p>
    <w:p w14:paraId="01A6AA2D" w14:textId="4EDC9351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Postupak unutarnjeg prijavljivanja nepravilnosti započinje dostavljanjem prijave povjerljivoj osobi.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dužna je: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1. zaprimiti prijavu nepravilnosti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2. ispitati prijavu nepravilnosti najkasnije u roku od (60) šezdeset dana od dana zaprimanja prijave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3. bez odgode poduzeti radnje iz svoje nadležnosti potrebne za zaštitu prijavitelja nepravilnosti ako je prijavitelj nepravilnosti učinio vjerojatnim da jest ili bi mogao biti žrtva štetne radnje zbog prijave nepravilnosti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4. prijavu o nepravilnosti proslijediti tijelima ovlaštenim na postupanje prema sadržaju prijave, ako nepravilnost nije riješena s </w:t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Poslodavcem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5. obavijestiti prijavitelja nepravilnosti, na njegov zahtjev, o tijeku i radnjama poduzetima u postupku i omogućiti mu uvid u spis u roku od (30) trideset dana od zaprimanja zahtjeva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6. pisanim putem obavijestiti prijavitelja nepravilnosti o ishodu postupka iz stavka 1. ovoga članka odmah nakon njegova završetka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7. pisanim putem izvijestiti nadležno tijelo za vanjsko prijavljivanje nepravilnosti o zaprimljenim prijavama u roku od (30) trideset dana od odlučivanja o prijavi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8. čuvati identitet prijavitelja nepravilnosti i podatke zaprimljene u prijavi od neovlaštenog otkrivanja odnosno objave drugim osobama, osim ako to nije suprotno zakonu.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Poslodavac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ne smije povjerljivu osobu i/ili njezina zamjenika staviti u nepovoljan položaj.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ne smije utjecati ili pokušati utjecati na postupanje povjerljive osobe i/ili njezina zamjenika prilikom poduzimanja radnji iz njihove nadležnosti potrebnih za zaštitu prijavitelja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i/ili njezin zamjenik trebaju svoje dužnosti obavljati zakonito i savjesno i ne smiju zlouporabiti svoje ovlasti na štetu prijavitelja nepravilnosti.</w:t>
      </w:r>
    </w:p>
    <w:p w14:paraId="71DB3997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</w:p>
    <w:p w14:paraId="023D4D5F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Poduzimanje nužnih mjera</w:t>
      </w:r>
    </w:p>
    <w:p w14:paraId="04CDE9BE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15.</w:t>
      </w:r>
    </w:p>
    <w:p w14:paraId="6A8CC24A" w14:textId="77C2CC35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dužna je zaštititi prijavitelja nepravilnosti od štetne radnje i poduzeti nužne mjere radi zaustavljanja štetnih radnji i otklanjanja njihovih posljedica, čuvati podatke zaprimljene u prijavi od neovlaštenog otkrivanja, osim ako to nije suprotno zakonu, poduzeti mjere radi otklanjanja utvrđenih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 smislu poduzimanja nužnih mjera za zaustavljanje nepravilnost</w:t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i otklanjanja nepravilnost</w:t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povjerljiva osoba treba o tome obavijestiti nadležne osobe </w:t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Poslodavca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(</w:t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 Društva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, </w:t>
      </w:r>
      <w:r w:rsidR="0002577C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Nadzorni odbor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) zavisno od razine i težine nepravilnosti i tražiti da se nepravilnosti hitno otklone.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Svi koje je povjerljiva osoba obavijestila o nepravilnosti dužni su iste odmah zaustaviti odnosno 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lastRenderedPageBreak/>
        <w:t>ukloniti i povjerljivu osobu obavijestiti o učinjenom.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Ako nepravilnosti ne budu riješene u primjerenom roku povjerljiva osoba će obavijestiti daljnje osobe u hijerarhiji, odnosno sama učiniti vanjsku prijavu.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shd w:val="clear" w:color="auto" w:fill="FFFFFF"/>
          <w:lang w:eastAsia="hr-HR"/>
        </w:rPr>
        <w:br/>
      </w:r>
    </w:p>
    <w:p w14:paraId="35067E6B" w14:textId="51BDBBE1" w:rsidR="00D824F8" w:rsidRPr="00B109E0" w:rsidRDefault="00B7228A" w:rsidP="00B7228A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 xml:space="preserve">     </w:t>
      </w:r>
      <w:r w:rsidR="00D824F8"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Nepravilnosti koje se odnose na proračunska sredstva ili fondove EU</w:t>
      </w:r>
    </w:p>
    <w:p w14:paraId="552CAEDA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16.</w:t>
      </w:r>
    </w:p>
    <w:p w14:paraId="2E3CD530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Rješavanje nepravilnosti koje se odnose na proračunska sredstva i/ili sredstva iz fondova Europske unije, treba biti u skladu s propisima kojima se uređuju područja upravljanja nepravilnostima vezanim uz proračunska sredstva i/ili sredstva iz fondova Europske unije.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6ECB4CCE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Poduzimanje mjera s obzirom na karakter nepravilnosti</w:t>
      </w:r>
    </w:p>
    <w:p w14:paraId="084E67C9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17.</w:t>
      </w:r>
    </w:p>
    <w:p w14:paraId="42F041B1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S obzirom na karakter utvrđenih nepravilnosti (sumnja na kazneno djelo, prekršaj ili druga vrsta nepravilnosti), povjerljiva osoba poduzima sljedeće mjere: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u slučaju utvrđenih nepravilnosti za koje postoji sumnja na kazneno djelo, predmet sa dokazima u prilogu dostavlja na postupanje nadležnom državnom odvjetništvu,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u slučaju utvrđenih nepravilnosti koje imaju obilježje prekršaja, obavještava se nadležno ministarstvo, inspektorat i sl.,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- u slučaju utvrđenih nepravilnosti za koje nisu propisane kazne, predlaže mjere za otklanjanje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1614FB92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Poduzimanje mjera u vezi s proračunskim sredstvima ili sredstvima fondova EU</w:t>
      </w: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br/>
        <w:t>Članak 18.</w:t>
      </w:r>
      <w:r w:rsidRPr="00B109E0">
        <w:rPr>
          <w:rFonts w:ascii="Arial" w:eastAsia="Times New Roman" w:hAnsi="Arial" w:cs="Arial"/>
          <w:b/>
          <w:bCs/>
          <w:color w:val="333333"/>
          <w:sz w:val="18"/>
          <w:szCs w:val="18"/>
          <w:lang w:eastAsia="hr-HR"/>
        </w:rPr>
        <w:t>​</w:t>
      </w:r>
    </w:p>
    <w:p w14:paraId="3E03C277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 slučaju da su utvrđene nepravilnosti u vezi postupanja s proračunskim sredstvima ili sredstvima fondova EU, osim na način naveden u ostalim odredbama ovoga Pravilnika, postupa se na sljedeći način: - o prijavljenim odnosno uočenim nepravilnostima izvijestiti osobu za nepravilnosti u nadležnom ministarstvu,- obavijestiti tijelo nadležno za nadzor kontrole korištenja sredstava fondova EU, - predmet sa dokazima u prilogu dostaviti na postupanje nadležnoj ustrojstvenoj jedinici u Ministarstvu financija u čijem je djelokrugu proračunski nadzor.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31483270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Čuvanje podataka o prijavitelju</w:t>
      </w:r>
    </w:p>
    <w:p w14:paraId="39C3B90C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19.</w:t>
      </w:r>
    </w:p>
    <w:p w14:paraId="249ECA57" w14:textId="69DFB66E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treba zaštiti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ti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osobu koja joj je dala prijavu i čuvati podatke o toj osobi.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Odavanje podataka o prijavitelju bez pristanka te osobe odnosno bez izričite zakonske obveze u službenom vanjskom postupku od strane povjerljive osobe, predstavlja njeno teško kršenje radnih obveza.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7AC5424B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Zaštita povjerljive osobe</w:t>
      </w:r>
    </w:p>
    <w:p w14:paraId="7C8D3D84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20.</w:t>
      </w:r>
    </w:p>
    <w:p w14:paraId="517DDDF9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Svako djelovanje protiv povjerljive osobe s ciljem njenog onemogućavanja i sprječavanja u djelovanju kao povjerljive osobe, predstavlja teško kršenje radnih obveza.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proofErr w:type="spellStart"/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Nepostupanje</w:t>
      </w:r>
      <w:proofErr w:type="spellEnd"/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po opravdanoj prijavi povjerljive osobe odnosno izbjegavanje postupanja, zataškavanje, uništavanje dokaza i sl. predstavlja tešku povredu radnih obveza.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64B97E62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Mogućnosti prijavljivanja</w:t>
      </w:r>
    </w:p>
    <w:p w14:paraId="3B326924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21.</w:t>
      </w:r>
    </w:p>
    <w:p w14:paraId="17F8675E" w14:textId="6F0B70D8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Unutarnje prijavljivanje nepravilnosti svaki radnik može učiniti povjerljivoj osobi, ali i svakoj drugoj osobi za koju misli da bi to bilo korisno (voditelju,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članu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Uprave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, 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Nadzornom odboru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i sl.).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Svi koji su dobili prijavu dužni su o tome obavijestiti povjerljivu osobu, čuvati podatke o prijavitelju i poduzeti mjere za otklanjanje nepravilnosti koje su u njihovoj nadležnosti odnosno obavijestiti nadležne radnike da otklone nepravilnosti.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lastRenderedPageBreak/>
        <w:t>Zataškavanje podataka predstavlja tešku povredu radne obveze.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2FA23A18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Način primanja prijava od strane povjerljive osobe </w:t>
      </w:r>
    </w:p>
    <w:p w14:paraId="7D9B865A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22.</w:t>
      </w:r>
    </w:p>
    <w:p w14:paraId="527E3084" w14:textId="77777777" w:rsidR="00D824F8" w:rsidRPr="00B109E0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nepravilnosti prima osobno, putem e-maila, pošte i sl.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Prijave se mogu potpisati ili dati anonimno.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Povjerljiva osoba će postupati po svim prijavama uključujući i anonimnima, osim ako iz same prijave očigledno, nedvosmisleno i nesporno proizlazi da prijava nije istinita ili ozbiljna.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shd w:val="clear" w:color="auto" w:fill="FFFFFF"/>
          <w:lang w:eastAsia="hr-HR"/>
        </w:rPr>
        <w:br/>
      </w:r>
    </w:p>
    <w:p w14:paraId="4E1821AD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Zaštita prijavitelja</w:t>
      </w:r>
    </w:p>
    <w:p w14:paraId="0ED0CF01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23.</w:t>
      </w:r>
    </w:p>
    <w:p w14:paraId="7BA21514" w14:textId="509A73CB" w:rsidR="00D824F8" w:rsidRDefault="00D824F8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Svako djelovanje protiv prijavitelja s ciljem da se onemogući u prijavi i davanju dokaza i sl. ili s ciljem da ga se kazni, ometa, uznemirava radi prijave predstavlja težu povredu radnih obveza.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U slučaju postupanja protiv prijavitelja na način iz stavka 1. ovoga članka, 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 radnika zaštititi otkazujući ugovore o radu radnicima koji prijavitelja sprječavaju, kažnjavaju, uznemiruju ili ih premjestiti na drugo mjesto rada, a samo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g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prijavitelja premjestiti na drugo mjesto rada samo ako on to izričito traži.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Uprava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 će, također, će u takvoj situaciji prijavitelju omogućiti plaćeni dopust dok se ne srede uvjeti za nastavak normalnog rada.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</w:p>
    <w:p w14:paraId="50590671" w14:textId="52EFF9E8" w:rsidR="00790A94" w:rsidRDefault="00790A94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</w:p>
    <w:p w14:paraId="5B5309E7" w14:textId="5D249E08" w:rsidR="00790A94" w:rsidRDefault="00790A94" w:rsidP="00D824F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</w:pPr>
      <w:r>
        <w:rPr>
          <w:rFonts w:ascii="Century Gothic" w:eastAsia="Times New Roman" w:hAnsi="Century Gothic" w:cs="Times New Roman"/>
          <w:sz w:val="24"/>
          <w:szCs w:val="24"/>
          <w:lang w:eastAsia="hr-HR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hr-HR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hr-HR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hr-HR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hr-HR"/>
        </w:rPr>
        <w:tab/>
        <w:t xml:space="preserve">        </w:t>
      </w:r>
      <w:r w:rsidRPr="00790A94"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>Sankcije</w:t>
      </w:r>
    </w:p>
    <w:p w14:paraId="60CF889F" w14:textId="13FF3A10" w:rsidR="00790A94" w:rsidRDefault="00790A94" w:rsidP="00D824F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ab/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ab/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ab/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ab/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ab/>
        <w:t xml:space="preserve">         Članak 24.</w:t>
      </w:r>
    </w:p>
    <w:p w14:paraId="0EE5D5C4" w14:textId="22B50CB9" w:rsidR="00790A94" w:rsidRDefault="00790A94" w:rsidP="00790A94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>
        <w:rPr>
          <w:rFonts w:ascii="Century Gothic" w:eastAsia="Times New Roman" w:hAnsi="Century Gothic" w:cs="Times New Roman"/>
          <w:sz w:val="20"/>
          <w:szCs w:val="20"/>
          <w:lang w:eastAsia="hr-HR"/>
        </w:rPr>
        <w:t>Moguće sankcije za nepravilno postupanje su: opomena, opomena s upozorenjem na mogućnost otkaza ugovora o radu, novčana kazna, otkaz ugovora o radu.</w:t>
      </w:r>
    </w:p>
    <w:p w14:paraId="30DCFF9A" w14:textId="77777777" w:rsidR="00790A94" w:rsidRPr="00790A94" w:rsidRDefault="00790A94" w:rsidP="00D824F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2966419D" w14:textId="5EEB3B5C" w:rsidR="00790A94" w:rsidRDefault="00790A94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  <w:r>
        <w:rPr>
          <w:rFonts w:ascii="Century Gothic" w:eastAsia="Times New Roman" w:hAnsi="Century Gothic" w:cs="Times New Roman"/>
          <w:sz w:val="24"/>
          <w:szCs w:val="24"/>
          <w:lang w:eastAsia="hr-HR"/>
        </w:rPr>
        <w:t xml:space="preserve">   </w:t>
      </w:r>
    </w:p>
    <w:p w14:paraId="2D8620FC" w14:textId="0DAC1FCB" w:rsidR="00790A94" w:rsidRDefault="00790A94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</w:p>
    <w:p w14:paraId="1F4C63B9" w14:textId="77777777" w:rsidR="00790A94" w:rsidRPr="00B109E0" w:rsidRDefault="00790A94" w:rsidP="00D824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hr-HR"/>
        </w:rPr>
      </w:pPr>
    </w:p>
    <w:p w14:paraId="140F978E" w14:textId="77777777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Objava i dostava Pravilnika</w:t>
      </w:r>
    </w:p>
    <w:p w14:paraId="3535DCA8" w14:textId="75D24173" w:rsidR="00D824F8" w:rsidRPr="00B109E0" w:rsidRDefault="00D824F8" w:rsidP="00D824F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</w:pP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Članak 2</w:t>
      </w:r>
      <w:r w:rsidR="00790A94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5</w:t>
      </w:r>
      <w:r w:rsidRPr="00B109E0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hr-HR"/>
        </w:rPr>
        <w:t>.</w:t>
      </w:r>
    </w:p>
    <w:p w14:paraId="285B5242" w14:textId="38A92600" w:rsidR="00E03CB4" w:rsidRDefault="00D824F8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Ovaj Pravilnik stupa na snagu osmog (8) dana od dana objave na oglasnoj ploči 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lang w:eastAsia="hr-HR"/>
        </w:rPr>
        <w:br/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 xml:space="preserve">Ovaj Pravilnik objavit će se na oglasnoj ploči i web stranici </w:t>
      </w:r>
      <w:r w:rsidR="009B7C63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Društva</w:t>
      </w:r>
      <w:r w:rsidRPr="00B109E0"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>.</w:t>
      </w:r>
    </w:p>
    <w:p w14:paraId="4C239256" w14:textId="0BB1B9E6" w:rsidR="004145B9" w:rsidRDefault="004145B9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</w:p>
    <w:p w14:paraId="3C355910" w14:textId="65A6909A" w:rsidR="004145B9" w:rsidRDefault="004145B9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</w:p>
    <w:p w14:paraId="42066353" w14:textId="0A1D38E7" w:rsidR="004145B9" w:rsidRDefault="004145B9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</w:p>
    <w:p w14:paraId="1E1CAFEA" w14:textId="4D956E1D" w:rsidR="004145B9" w:rsidRDefault="004145B9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</w:p>
    <w:p w14:paraId="78AE1AA9" w14:textId="4A41B437" w:rsidR="004145B9" w:rsidRDefault="004145B9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</w:p>
    <w:p w14:paraId="37FC3055" w14:textId="550D2241" w:rsidR="004145B9" w:rsidRPr="004145B9" w:rsidRDefault="004145B9" w:rsidP="00675499">
      <w:pPr>
        <w:spacing w:after="0" w:line="240" w:lineRule="auto"/>
        <w:ind w:left="3540" w:firstLine="708"/>
        <w:jc w:val="center"/>
        <w:rPr>
          <w:rFonts w:ascii="Century Gothic" w:eastAsia="Impact" w:hAnsi="Century Gothic" w:cs="Times New Roman"/>
          <w:sz w:val="20"/>
          <w:szCs w:val="20"/>
          <w:lang w:eastAsia="hr-HR"/>
        </w:rPr>
      </w:pPr>
      <w:r>
        <w:rPr>
          <w:rFonts w:ascii="Century Gothic" w:eastAsia="Impact" w:hAnsi="Century Gothic" w:cs="Times New Roman"/>
          <w:sz w:val="20"/>
          <w:szCs w:val="20"/>
          <w:lang w:eastAsia="hr-HR"/>
        </w:rPr>
        <w:t xml:space="preserve"> </w:t>
      </w:r>
      <w:r>
        <w:rPr>
          <w:rFonts w:ascii="Century Gothic" w:eastAsia="Impact" w:hAnsi="Century Gothic" w:cs="Times New Roman"/>
          <w:sz w:val="20"/>
          <w:szCs w:val="20"/>
          <w:lang w:eastAsia="hr-HR"/>
        </w:rPr>
        <w:tab/>
      </w:r>
      <w:r>
        <w:rPr>
          <w:rFonts w:ascii="Century Gothic" w:eastAsia="Impact" w:hAnsi="Century Gothic" w:cs="Times New Roman"/>
          <w:sz w:val="20"/>
          <w:szCs w:val="20"/>
          <w:lang w:eastAsia="hr-HR"/>
        </w:rPr>
        <w:tab/>
        <w:t xml:space="preserve"> </w:t>
      </w:r>
      <w:r>
        <w:rPr>
          <w:rFonts w:ascii="Century Gothic" w:eastAsia="Impact" w:hAnsi="Century Gothic" w:cs="Times New Roman"/>
          <w:sz w:val="20"/>
          <w:szCs w:val="20"/>
          <w:lang w:eastAsia="hr-HR"/>
        </w:rPr>
        <w:tab/>
        <w:t xml:space="preserve">   </w:t>
      </w:r>
    </w:p>
    <w:p w14:paraId="55AB6E55" w14:textId="2CB4903E" w:rsidR="004145B9" w:rsidRDefault="004145B9" w:rsidP="00D824F8">
      <w:pP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</w:pPr>
    </w:p>
    <w:p w14:paraId="260E5A70" w14:textId="735627CF" w:rsidR="004145B9" w:rsidRPr="00B109E0" w:rsidRDefault="004145B9" w:rsidP="00D824F8">
      <w:pPr>
        <w:rPr>
          <w:rFonts w:ascii="Century Gothic" w:hAnsi="Century Gothic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  <w:r>
        <w:rPr>
          <w:rFonts w:ascii="Century Gothic" w:eastAsia="Times New Roman" w:hAnsi="Century Gothic" w:cs="Arial"/>
          <w:color w:val="333333"/>
          <w:sz w:val="20"/>
          <w:szCs w:val="20"/>
          <w:shd w:val="clear" w:color="auto" w:fill="FFFFFF"/>
          <w:lang w:eastAsia="hr-HR"/>
        </w:rPr>
        <w:tab/>
      </w:r>
    </w:p>
    <w:sectPr w:rsidR="004145B9" w:rsidRPr="00B1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44"/>
    <w:rsid w:val="0002577C"/>
    <w:rsid w:val="000A546A"/>
    <w:rsid w:val="000C1142"/>
    <w:rsid w:val="00105BD3"/>
    <w:rsid w:val="004145B9"/>
    <w:rsid w:val="004E55AE"/>
    <w:rsid w:val="00514EC8"/>
    <w:rsid w:val="005C7015"/>
    <w:rsid w:val="00675499"/>
    <w:rsid w:val="006E1A44"/>
    <w:rsid w:val="00790A94"/>
    <w:rsid w:val="008862AE"/>
    <w:rsid w:val="008D2D06"/>
    <w:rsid w:val="009B7C63"/>
    <w:rsid w:val="00B109E0"/>
    <w:rsid w:val="00B36C37"/>
    <w:rsid w:val="00B7228A"/>
    <w:rsid w:val="00C07FF2"/>
    <w:rsid w:val="00C11A4D"/>
    <w:rsid w:val="00D824F8"/>
    <w:rsid w:val="00F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3B0C"/>
  <w15:chartTrackingRefBased/>
  <w15:docId w15:val="{81575D64-0A4C-4996-90B6-194FF8F6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Šostarec</dc:creator>
  <cp:keywords/>
  <dc:description/>
  <cp:lastModifiedBy>Mateo Šostarec</cp:lastModifiedBy>
  <cp:revision>3</cp:revision>
  <dcterms:created xsi:type="dcterms:W3CDTF">2022-07-22T08:49:00Z</dcterms:created>
  <dcterms:modified xsi:type="dcterms:W3CDTF">2022-07-22T08:52:00Z</dcterms:modified>
</cp:coreProperties>
</file>